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44"/>
          <w:szCs w:val="44"/>
        </w:rPr>
      </w:pPr>
      <w:r>
        <w:rPr>
          <w:rFonts w:hint="eastAsia" w:ascii="黑体" w:hAnsi="黑体" w:eastAsia="黑体" w:cs="黑体"/>
          <w:b/>
          <w:bCs/>
          <w:sz w:val="44"/>
          <w:szCs w:val="44"/>
          <w:lang w:eastAsia="zh-CN"/>
        </w:rPr>
        <w:t>第十四讲</w:t>
      </w:r>
      <w:r>
        <w:rPr>
          <w:rFonts w:hint="eastAsia" w:ascii="黑体" w:hAnsi="黑体" w:eastAsia="黑体" w:cs="黑体"/>
          <w:b/>
          <w:bCs/>
          <w:sz w:val="44"/>
          <w:szCs w:val="44"/>
          <w:lang w:val="en-US" w:eastAsia="zh-CN"/>
        </w:rPr>
        <w:t xml:space="preserve">  </w:t>
      </w:r>
      <w:r>
        <w:rPr>
          <w:rFonts w:hint="eastAsia" w:ascii="黑体" w:hAnsi="黑体" w:eastAsia="黑体" w:cs="黑体"/>
          <w:b/>
          <w:bCs/>
          <w:sz w:val="44"/>
          <w:szCs w:val="44"/>
        </w:rPr>
        <w:t>前列腺癌的护理</w:t>
      </w:r>
      <w:r>
        <w:rPr>
          <w:rFonts w:hint="eastAsia"/>
          <w:b/>
          <w:bCs/>
          <w:sz w:val="44"/>
          <w:szCs w:val="44"/>
        </w:rPr>
        <w:t xml:space="preserve"> </w:t>
      </w:r>
    </w:p>
    <w:p>
      <w:pPr>
        <w:jc w:val="center"/>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福建医科大学附属协和医院</w:t>
      </w:r>
      <w:r>
        <w:rPr>
          <w:rFonts w:hint="eastAsia" w:ascii="仿宋_GB2312" w:hAnsi="仿宋_GB2312" w:eastAsia="仿宋_GB2312" w:cs="仿宋_GB2312"/>
          <w:bCs/>
          <w:sz w:val="32"/>
          <w:szCs w:val="32"/>
          <w:lang w:val="en-US" w:eastAsia="zh-CN"/>
        </w:rPr>
        <w:t xml:space="preserve">  </w:t>
      </w:r>
      <w:r>
        <w:rPr>
          <w:rFonts w:hint="eastAsia" w:ascii="仿宋_GB2312" w:hAnsi="仿宋_GB2312" w:eastAsia="仿宋_GB2312" w:cs="仿宋_GB2312"/>
          <w:bCs/>
          <w:sz w:val="32"/>
          <w:szCs w:val="32"/>
        </w:rPr>
        <w:t>张葳</w:t>
      </w:r>
    </w:p>
    <w:p>
      <w:pPr>
        <w:rPr>
          <w:sz w:val="24"/>
          <w:szCs w:val="28"/>
        </w:rPr>
      </w:pPr>
    </w:p>
    <w:p>
      <w:pPr>
        <w:numPr>
          <w:ilvl w:val="0"/>
          <w:numId w:val="1"/>
        </w:numPr>
        <w:spacing w:line="360" w:lineRule="auto"/>
        <w:jc w:val="left"/>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概述</w:t>
      </w:r>
    </w:p>
    <w:p>
      <w:pPr>
        <w:spacing w:line="360" w:lineRule="auto"/>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（一）定义 前列腺癌（carcinoma of prostate）是源自前列腺上皮的恶性肿瘤，好发于65岁以上的男性。世界范围内，前列腺癌发病率在男性所有恶性肿瘤中位居第二，美国的发病率已超过肺癌，成为第一位危害男性健康的肿瘤。随着我国人口老龄化、诊疗技术的进步，前列腺癌发病率亦逐年提高。</w:t>
      </w:r>
    </w:p>
    <w:p>
      <w:pPr>
        <w:spacing w:line="360" w:lineRule="auto"/>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（二）病因 病因尚未不清楚。可能与年龄、遗传、种族、癌前病变、饮食、环境污染等有关。</w:t>
      </w:r>
    </w:p>
    <w:p>
      <w:pPr>
        <w:spacing w:line="360" w:lineRule="auto"/>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（三）病理 5%~20%的病人可发生局部浸润和远处转移，常直接向精囊和膀胱底部浸润。血行转移主要转移至骨，以脊椎骨最为常见，其次是股骨近端、盆骨和肋骨。淋巴转移首先至闭孔淋巴结，随之到内脏淋巴结、胃底淋巴结、骶骨前淋巴结和主动脉旁淋巴结。</w:t>
      </w:r>
    </w:p>
    <w:p>
      <w:pPr>
        <w:spacing w:line="360" w:lineRule="auto"/>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1.分级 Gleason分级法是根据腺体分化程度以及肿瘤在间质中的生长方式作为分级标准，以此来评价肿瘤的恶性程度，广泛应用于临床。Gleason将肿瘤分成主要类型和次要类型，每个类型分为5级，1级分化最好，5级分化最差。两种类型分组之和为Gleason得分。Gleason2~4分属于分化良好癌，5~7分属于中等分化癌，8~10分属于分化差或未分化癌。</w:t>
      </w:r>
    </w:p>
    <w:p>
      <w:pPr>
        <w:spacing w:line="360" w:lineRule="auto"/>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2.分期 多采用TNM分期系统。根据肿瘤侵犯范围不同，分为4期：T0期为没有原发瘤的证据；T1期为不能扪及和影像发现的临床隐匿肿瘤；T2期肿瘤局限于前列腺内；T3期肿瘤穿透前列腺被膜；T4期肿瘤固定或侵犯精囊以外的组织。N、M代表有无淋巴结转移或远处转移。</w:t>
      </w:r>
    </w:p>
    <w:p>
      <w:pPr>
        <w:spacing w:line="360" w:lineRule="auto"/>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（四）临床表现 早期前列腺癌通常无明显症状，当肿瘤增大至阻塞尿道或侵犯膀胱颈时出现与前列腺增生相似的膀胱颈梗阻症状，可出现逐渐加重的尿流缓慢、尿频、尿急、排尿不尽、排尿困难，甚至尿潴留或尿失禁等症状。少数病人以转移症状就医而无明显前列腺癌原发症状。</w:t>
      </w:r>
    </w:p>
    <w:p>
      <w:pPr>
        <w:numPr>
          <w:ilvl w:val="0"/>
          <w:numId w:val="1"/>
        </w:numPr>
        <w:spacing w:line="360" w:lineRule="auto"/>
        <w:jc w:val="left"/>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 xml:space="preserve">辅助检查 </w:t>
      </w:r>
    </w:p>
    <w:p>
      <w:pPr>
        <w:numPr>
          <w:ilvl w:val="0"/>
          <w:numId w:val="0"/>
        </w:numPr>
        <w:spacing w:line="360" w:lineRule="auto"/>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1.直肠指诊 直肠指诊触及前列腺结节，质地坚硬。</w:t>
      </w:r>
    </w:p>
    <w:p>
      <w:pPr>
        <w:numPr>
          <w:ilvl w:val="0"/>
          <w:numId w:val="0"/>
        </w:numPr>
        <w:spacing w:line="360" w:lineRule="auto"/>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2.实验室检查 PSA是目前诊断前列腺癌、评估各种治疗效果和预测预后的重要肿瘤标志物。前列腺癌者血清PSA常升高，有转移病灶者血清PSA可显著升高。</w:t>
      </w:r>
    </w:p>
    <w:p>
      <w:pPr>
        <w:numPr>
          <w:ilvl w:val="0"/>
          <w:numId w:val="0"/>
        </w:numPr>
        <w:spacing w:line="360" w:lineRule="auto"/>
        <w:ind w:firstLine="64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3.影像学检查 </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 1 \* GB3 \* MERGEFORMAT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①</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经直肠超声（TRUS）：可帮助寻找可疑病灶，初步判断肿瘤大小；引导行穿刺活检。</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 2 \* GB3 \* MERGEFORMAT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②</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MRI、CT：MRI可显示前列腺包膜的完整性、肿瘤是否侵犯前列腺周围组织及器官、盆腔淋巴结受侵犯情况及骨转移的病灶。CT对早期前列腺癌的诊断敏感性明显低于MRI，主要是协助进行肿瘤临床分期。</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 3 \* GB3 \* MERGEFORMAT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③</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全身核素骨显像检查（ECT）:可比常规X线提前3~6个月发现骨转移灶。</w:t>
      </w:r>
    </w:p>
    <w:p>
      <w:pPr>
        <w:numPr>
          <w:ilvl w:val="0"/>
          <w:numId w:val="0"/>
        </w:numPr>
        <w:spacing w:line="360" w:lineRule="auto"/>
        <w:ind w:firstLine="64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4.前列腺穿刺检查 经直肠超声引导前列腺穿刺活检可确诊前列腺癌。</w:t>
      </w:r>
    </w:p>
    <w:p>
      <w:pPr>
        <w:numPr>
          <w:ilvl w:val="0"/>
          <w:numId w:val="0"/>
        </w:numPr>
        <w:spacing w:line="360" w:lineRule="auto"/>
        <w:jc w:val="left"/>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eastAsia="zh-CN"/>
        </w:rPr>
        <w:t>三、</w:t>
      </w:r>
      <w:r>
        <w:rPr>
          <w:rFonts w:hint="eastAsia" w:ascii="仿宋_GB2312" w:hAnsi="仿宋_GB2312" w:eastAsia="仿宋_GB2312" w:cs="仿宋_GB2312"/>
          <w:b/>
          <w:bCs/>
          <w:sz w:val="32"/>
          <w:szCs w:val="32"/>
        </w:rPr>
        <w:t xml:space="preserve">处理原则 </w:t>
      </w:r>
    </w:p>
    <w:p>
      <w:pPr>
        <w:spacing w:line="360" w:lineRule="auto"/>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根据病人的年龄、全身状况、临床分期及病理分级等综合因素考虑。</w:t>
      </w:r>
    </w:p>
    <w:p>
      <w:pPr>
        <w:spacing w:line="360" w:lineRule="auto"/>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1.非手术治疗 </w:t>
      </w:r>
    </w:p>
    <w:p>
      <w:pPr>
        <w:spacing w:line="360" w:lineRule="auto"/>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（1）观察等待：适合于偶然发现的局限性前列腺癌（T1a期）。</w:t>
      </w:r>
    </w:p>
    <w:p>
      <w:pPr>
        <w:spacing w:line="360" w:lineRule="auto"/>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（2）抗雄激素内分泌治疗：又称药物去势，适合于T3、T4期的前列腺癌，通常使用以下药物：</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 1 \* GB3 \* MERGEFORMAT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①</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人工合成的促黄体生成素释放激素类似物（LHRH-A）：如醋酸割舍瑞林、醋酸亮丙瑞林等，能反馈性抑制垂体释放促性腺激素，使体内雄激素浓度处于去势水平，起到治疗前列腺癌的目的。</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 2 \* GB3 \* MERGEFORMAT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②</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雄激素受体阻滞药：能阻止双氢睾酮与雄激素受体结合，在中枢有对抗雄激素负反馈的作用。有甾体类药物，如环丙孕酮（CPA）、醋酸甲地孕酮和醋酸甲羟孕酮；非甾体类药物，如尼鲁米特、比卡鲁胺和氟他胺。</w:t>
      </w:r>
    </w:p>
    <w:p>
      <w:pPr>
        <w:spacing w:line="360" w:lineRule="auto"/>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（3）放射治疗：有内放射和外放射2种。内放射使用放射性核素粒子（如</w:t>
      </w:r>
      <w:r>
        <w:rPr>
          <w:rFonts w:hint="eastAsia" w:ascii="仿宋_GB2312" w:hAnsi="仿宋_GB2312" w:eastAsia="仿宋_GB2312" w:cs="仿宋_GB2312"/>
          <w:sz w:val="32"/>
          <w:szCs w:val="32"/>
          <w:vertAlign w:val="superscript"/>
        </w:rPr>
        <w:t>125</w:t>
      </w:r>
      <w:r>
        <w:rPr>
          <w:rFonts w:hint="eastAsia" w:ascii="仿宋_GB2312" w:hAnsi="仿宋_GB2312" w:eastAsia="仿宋_GB2312" w:cs="仿宋_GB2312"/>
          <w:sz w:val="32"/>
          <w:szCs w:val="32"/>
        </w:rPr>
        <w:t>I）植入治疗，主要适用于T2期以内的前列腺癌。外放射适用于内分泌治疗无效者。</w:t>
      </w:r>
    </w:p>
    <w:p>
      <w:pPr>
        <w:spacing w:line="360" w:lineRule="auto"/>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（4）化学治疗：主要用于内分泌治疗失败者，常用药物有环磷酰胺（CTX）、5-氟尿嘧啶（5-FU）、阿霉素（ADM）、卡铂、长春花碱及紫杉醇（PTX）等。</w:t>
      </w:r>
    </w:p>
    <w:p>
      <w:pPr>
        <w:spacing w:line="360" w:lineRule="auto"/>
        <w:jc w:val="left"/>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 xml:space="preserve">2.手术治疗 </w:t>
      </w:r>
    </w:p>
    <w:p>
      <w:pPr>
        <w:spacing w:line="360" w:lineRule="auto"/>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（1）根治性前列腺切除术：是局限在包膜以内（T1b、T2期）的前列腺癌最佳治疗方法，但仅适于年龄较轻，能耐受手术的病人。</w:t>
      </w:r>
    </w:p>
    <w:p>
      <w:pPr>
        <w:spacing w:line="360" w:lineRule="auto"/>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（2）双侧睾丸切除术与包膜下睾丸切除术：用于T3、T4期的前列腺癌病人进行手术去势。</w:t>
      </w:r>
    </w:p>
    <w:p>
      <w:pPr>
        <w:spacing w:line="360" w:lineRule="auto"/>
        <w:jc w:val="left"/>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四、并发症的护理措施</w:t>
      </w:r>
    </w:p>
    <w:p>
      <w:pPr>
        <w:numPr>
          <w:ilvl w:val="0"/>
          <w:numId w:val="2"/>
        </w:numPr>
        <w:spacing w:line="360" w:lineRule="auto"/>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手术治疗并发症的护理</w:t>
      </w:r>
    </w:p>
    <w:p>
      <w:pPr>
        <w:numPr>
          <w:ilvl w:val="0"/>
          <w:numId w:val="0"/>
        </w:numPr>
        <w:spacing w:line="360" w:lineRule="auto"/>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（1）</w:t>
      </w:r>
      <w:r>
        <w:rPr>
          <w:rFonts w:hint="eastAsia" w:ascii="仿宋_GB2312" w:hAnsi="仿宋_GB2312" w:eastAsia="仿宋_GB2312" w:cs="仿宋_GB2312"/>
          <w:sz w:val="32"/>
          <w:szCs w:val="32"/>
        </w:rPr>
        <w:t>尿失禁：主要为括约肌功能不全、逼尿肌功能不稳定和顺应性下降引起，通常在术后1年内得到改善。应鼓励病人坚持盆底肌肉训练，配合电刺激和生物反馈治疗等措施进行改善。</w:t>
      </w:r>
    </w:p>
    <w:p>
      <w:pPr>
        <w:numPr>
          <w:ilvl w:val="0"/>
          <w:numId w:val="0"/>
        </w:numPr>
        <w:spacing w:line="360" w:lineRule="auto"/>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（2）</w:t>
      </w:r>
      <w:r>
        <w:rPr>
          <w:rFonts w:hint="eastAsia" w:ascii="仿宋_GB2312" w:hAnsi="仿宋_GB2312" w:eastAsia="仿宋_GB2312" w:cs="仿宋_GB2312"/>
          <w:sz w:val="32"/>
          <w:szCs w:val="32"/>
        </w:rPr>
        <w:t>勃起功能障碍：术中损伤血管、神经，继而诱发缺氧，导致勃起组织纤维化，出现勃起功能障碍。应加强心理护理，遵医嘱使用西地那非（万艾可），注意观察有无心血管并发症。</w:t>
      </w:r>
    </w:p>
    <w:p>
      <w:pPr>
        <w:numPr>
          <w:ilvl w:val="0"/>
          <w:numId w:val="2"/>
        </w:numPr>
        <w:spacing w:line="360" w:lineRule="auto"/>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内分泌治疗并发症的护理</w:t>
      </w:r>
    </w:p>
    <w:p>
      <w:pPr>
        <w:numPr>
          <w:ilvl w:val="0"/>
          <w:numId w:val="0"/>
        </w:numPr>
        <w:spacing w:line="360" w:lineRule="auto"/>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（1）</w:t>
      </w:r>
      <w:r>
        <w:rPr>
          <w:rFonts w:hint="eastAsia" w:ascii="仿宋_GB2312" w:hAnsi="仿宋_GB2312" w:eastAsia="仿宋_GB2312" w:cs="仿宋_GB2312"/>
          <w:sz w:val="32"/>
          <w:szCs w:val="32"/>
        </w:rPr>
        <w:t>性功能障碍：睾酮水平的下降可使病人出现性欲下降和勃起功能障碍。治疗间歇期，随着雄激素水平升高，症状能够得到一定缓解；也可借助一些药物（如万艾可），注意观察有无心血管并发症。</w:t>
      </w:r>
    </w:p>
    <w:p>
      <w:pPr>
        <w:numPr>
          <w:ilvl w:val="0"/>
          <w:numId w:val="0"/>
        </w:numPr>
        <w:spacing w:line="360" w:lineRule="auto"/>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（2）</w:t>
      </w:r>
      <w:r>
        <w:rPr>
          <w:rFonts w:hint="eastAsia" w:ascii="仿宋_GB2312" w:hAnsi="仿宋_GB2312" w:eastAsia="仿宋_GB2312" w:cs="仿宋_GB2312"/>
          <w:sz w:val="32"/>
          <w:szCs w:val="32"/>
        </w:rPr>
        <w:t>血管舒缩症状：典型表现为颜面部一阵潮热，向下扩散到颈部和躯体，随后出汗，一般持续&lt;5分钟，1日可发作10余次。原因是雄激素缺乏导致下丘脑负反馈机制改变，儿茶酚胺分泌增加刺激下丘脑体温调节中枢引起热度增加的感觉。症状较轻者可行物理降温，注意避免感冒；症状较重者遵医嘱使用抗生素、孕激素、抗抑郁药、维生素E等。</w:t>
      </w:r>
    </w:p>
    <w:p>
      <w:pPr>
        <w:numPr>
          <w:ilvl w:val="0"/>
          <w:numId w:val="0"/>
        </w:numPr>
        <w:spacing w:line="360" w:lineRule="auto"/>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（3）</w:t>
      </w:r>
      <w:r>
        <w:rPr>
          <w:rFonts w:hint="eastAsia" w:ascii="仿宋_GB2312" w:hAnsi="仿宋_GB2312" w:eastAsia="仿宋_GB2312" w:cs="仿宋_GB2312"/>
          <w:sz w:val="32"/>
          <w:szCs w:val="32"/>
        </w:rPr>
        <w:t>男性乳房女性化：在雌激素治疗时发生率约为50%~80%，单一抗雄激素治疗时发生率约为50%~70%。该现象与雌二醇增加有关。雌激素受体拮抗剂他莫昔芬可用于乳房增大、疼痛的治疗。</w:t>
      </w:r>
    </w:p>
    <w:p>
      <w:pPr>
        <w:numPr>
          <w:ilvl w:val="0"/>
          <w:numId w:val="0"/>
        </w:numPr>
        <w:spacing w:line="360" w:lineRule="auto"/>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（4）</w:t>
      </w:r>
      <w:r>
        <w:rPr>
          <w:rFonts w:hint="eastAsia" w:ascii="仿宋_GB2312" w:hAnsi="仿宋_GB2312" w:eastAsia="仿宋_GB2312" w:cs="仿宋_GB2312"/>
          <w:sz w:val="32"/>
          <w:szCs w:val="32"/>
        </w:rPr>
        <w:t>其他：病人可出现肝功能受损、肥胖、骨质疏松、心血管和代谢并发症等。护理应注意监测病人的肝功能、血糖、血脂；指导病人补充钙剂，进行有效的体育锻炼；遵医嘱使用双膦酸盐类药物。</w:t>
      </w:r>
    </w:p>
    <w:p>
      <w:pPr>
        <w:spacing w:line="360" w:lineRule="auto"/>
        <w:jc w:val="left"/>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五、健康教育</w:t>
      </w:r>
    </w:p>
    <w:p>
      <w:pPr>
        <w:numPr>
          <w:ilvl w:val="0"/>
          <w:numId w:val="0"/>
        </w:numPr>
        <w:spacing w:line="360" w:lineRule="auto"/>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（1）</w:t>
      </w:r>
      <w:r>
        <w:rPr>
          <w:rFonts w:hint="eastAsia" w:ascii="仿宋_GB2312" w:hAnsi="仿宋_GB2312" w:eastAsia="仿宋_GB2312" w:cs="仿宋_GB2312"/>
          <w:sz w:val="32"/>
          <w:szCs w:val="32"/>
        </w:rPr>
        <w:t>复诊指导：定期直肠指诊和测定PSA以判断预后及复发情况。最初每3~6个月复查一次。</w:t>
      </w:r>
    </w:p>
    <w:p>
      <w:pPr>
        <w:numPr>
          <w:ilvl w:val="0"/>
          <w:numId w:val="0"/>
        </w:numPr>
        <w:spacing w:line="360" w:lineRule="auto"/>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（2）</w:t>
      </w:r>
      <w:r>
        <w:rPr>
          <w:rFonts w:hint="eastAsia" w:ascii="仿宋_GB2312" w:hAnsi="仿宋_GB2312" w:eastAsia="仿宋_GB2312" w:cs="仿宋_GB2312"/>
          <w:sz w:val="32"/>
          <w:szCs w:val="32"/>
        </w:rPr>
        <w:t>生活指导：保持良好的饮食习惯，适度锻炼、戒烟、限酒，避免高脂饮食，少吃红色肉类；多吃豆类、谷物、蔬菜、水果等富含纤维素的食物。</w:t>
      </w:r>
    </w:p>
    <w:p>
      <w:pPr>
        <w:numPr>
          <w:ilvl w:val="0"/>
          <w:numId w:val="0"/>
        </w:numPr>
        <w:spacing w:line="360" w:lineRule="auto"/>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（3）</w:t>
      </w:r>
      <w:r>
        <w:rPr>
          <w:rFonts w:hint="eastAsia" w:ascii="仿宋_GB2312" w:hAnsi="仿宋_GB2312" w:eastAsia="仿宋_GB2312" w:cs="仿宋_GB2312"/>
          <w:sz w:val="32"/>
          <w:szCs w:val="32"/>
        </w:rPr>
        <w:t>高危筛查：年龄在50岁以上的男性，每年应做1次专科检查，包括直肠指诊、PSA检测和经直肠超声检查，对可疑者，行前列腺穿刺活检。</w:t>
      </w:r>
    </w:p>
    <w:p>
      <w:pPr>
        <w:numPr>
          <w:ilvl w:val="0"/>
          <w:numId w:val="3"/>
        </w:numPr>
        <w:spacing w:line="360" w:lineRule="auto"/>
        <w:jc w:val="left"/>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知识拓展</w:t>
      </w:r>
    </w:p>
    <w:p>
      <w:pPr>
        <w:spacing w:line="360" w:lineRule="auto"/>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PSA检查时机：PSA是由前列腺产生的一种属于激肽释放酶家族的丝氨酸蛋白酶，检查时机为： </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 1 \* GB3 \* MERGEFORMAT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①</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 xml:space="preserve"> 射精24小时后；</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 2 \* GB3 \* MERGEFORMAT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②</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直肠指诊、膀胱镜检、导尿等操作48小时后；</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 3 \* GB3 \* MERGEFORMAT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③</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前列腺按摩1周后；④前列腺穿刺1个月后；⑤PSA检测时应无急性前列腺炎、尿潴留等。</w:t>
      </w:r>
    </w:p>
    <w:p>
      <w:pPr>
        <w:numPr>
          <w:ilvl w:val="0"/>
          <w:numId w:val="3"/>
        </w:numPr>
        <w:spacing w:line="360" w:lineRule="auto"/>
        <w:jc w:val="left"/>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最新进展</w:t>
      </w:r>
    </w:p>
    <w:p>
      <w:pPr>
        <w:spacing w:line="360" w:lineRule="auto"/>
        <w:ind w:firstLine="48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达芬奇手术机器人是目前世界上最先进的手术机器人，近年来逐渐应用于泌尿外科手术，更是前列腺癌根治术的金标准。与传统手术相比，具有以下优势：</w:t>
      </w:r>
    </w:p>
    <w:p>
      <w:pPr>
        <w:spacing w:line="360" w:lineRule="auto"/>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 1 \* GB3 \* MERGEFORMAT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①</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 xml:space="preserve"> 手术的微创性：最小创口只需要1cm，术后疼痛减轻，恢复快，住院时间缩短、失血量少，另外由于病人体内完全由器械操作，使得术后感染的风险几乎降为零。</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 2 \* GB3 \* MERGEFORMAT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②</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安全稳定性：机器人会根据医生的命令严格执行工作，相当于医生的手来说，能将生理震颤减少到最低，使得在进行血管复杂、空间获得小的手术时，机器人的机械手会精准地到达操作者要去的地方，并且角度灵活。</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 3 \* GB3 \* MERGEFORMAT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③</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清晰准确性：借助高清摄像头和3D成像系统，在多个摄像机的视野中，医生可以更清晰地看到手术部位的具体情况，以此做出明确的判断，提高了手术的成功率和精确性。</w:t>
      </w:r>
    </w:p>
    <w:p>
      <w:pPr>
        <w:spacing w:line="360" w:lineRule="auto"/>
        <w:jc w:val="left"/>
        <w:rPr>
          <w:rFonts w:cs="宋体"/>
          <w:sz w:val="24"/>
        </w:rPr>
      </w:pPr>
    </w:p>
    <w:p>
      <w:pPr>
        <w:spacing w:line="360" w:lineRule="auto"/>
        <w:jc w:val="left"/>
        <w:rPr>
          <w:sz w:val="24"/>
          <w:szCs w:val="28"/>
        </w:rPr>
      </w:pPr>
    </w:p>
    <w:p>
      <w:pPr>
        <w:spacing w:line="360" w:lineRule="auto"/>
        <w:jc w:val="left"/>
        <w:rPr>
          <w:sz w:val="24"/>
          <w:szCs w:val="28"/>
        </w:rPr>
      </w:pPr>
    </w:p>
    <w:p>
      <w:pPr>
        <w:spacing w:line="360" w:lineRule="auto"/>
        <w:jc w:val="left"/>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附测试题</w:t>
      </w:r>
    </w:p>
    <w:p>
      <w:pPr>
        <w:spacing w:line="360" w:lineRule="auto"/>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选择题</w:t>
      </w:r>
    </w:p>
    <w:p>
      <w:pPr>
        <w:numPr>
          <w:ilvl w:val="0"/>
          <w:numId w:val="4"/>
        </w:num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前列腺癌的血行转移主要转移至骨，以（ ）部位最为常见。</w:t>
      </w:r>
    </w:p>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A脊椎骨          B胸骨                C 肋骨            D 头骨</w:t>
      </w:r>
    </w:p>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 Gleason分级法中得分属于分化良好癌的是（）</w:t>
      </w:r>
    </w:p>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A 1~2              B 2~4              </w:t>
      </w:r>
    </w:p>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C 3~4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D 6~8</w:t>
      </w:r>
    </w:p>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3.前列腺癌的TNM分期根据肿瘤侵犯范围的不同，肿瘤穿透前列腺被膜属于（）期。</w:t>
      </w:r>
    </w:p>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A T2               B T1             </w:t>
      </w:r>
    </w:p>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C T3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D T4</w:t>
      </w:r>
    </w:p>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4.下列哪项检查对前列腺癌诊断意义不大（）</w:t>
      </w:r>
    </w:p>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APSA         B排泄性尿路造影     C肛门直肠指检     D前列腺穿刺活检</w:t>
      </w:r>
    </w:p>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5.前列腺癌的手术治疗的并发症除了以下哪项外（）</w:t>
      </w:r>
    </w:p>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A尿失禁      B勃起功能障碍       C男性乳房女性化     D出血</w:t>
      </w:r>
    </w:p>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6.血清前列腺特异性抗原 (PSA)异常升高可能是以下哪种疾病（）</w:t>
      </w:r>
    </w:p>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A.肾癌         B 前列腺增生      C膀胱癌     </w:t>
      </w:r>
    </w:p>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D前列腺癌</w:t>
      </w:r>
    </w:p>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7.男性乳房女性化的现象主要与（）有关</w:t>
      </w:r>
    </w:p>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A雄激素增加     B孕激素增加      C雌激素减少   </w:t>
      </w:r>
    </w:p>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D雌二醇增加</w:t>
      </w:r>
    </w:p>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8.前列腺癌手术治疗术后并发症尿失禁的原因除了以下哪项外均是（ ）</w:t>
      </w:r>
    </w:p>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A括约肌功能不全       B损伤尿道括约肌      </w:t>
      </w:r>
    </w:p>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C逼尿肌功能不稳定</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D逼尿肌顺应性下降</w:t>
      </w:r>
    </w:p>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9.PSA的检查时除了以下哪项外均是（）</w:t>
      </w:r>
    </w:p>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A导尿时</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B前列腺穿刺1个月后</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C射精48小时后D前列腺按摩1周后</w:t>
      </w:r>
    </w:p>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10.达芬奇手术机器人的优点除了哪项外均是（）</w:t>
      </w:r>
    </w:p>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A 出血少        B损伤少         C成像为2D       </w:t>
      </w:r>
    </w:p>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D 角度灵活</w:t>
      </w:r>
    </w:p>
    <w:p>
      <w:pPr>
        <w:spacing w:line="360" w:lineRule="auto"/>
        <w:jc w:val="left"/>
        <w:rPr>
          <w:rFonts w:hint="eastAsia" w:ascii="仿宋_GB2312" w:hAnsi="仿宋_GB2312" w:eastAsia="仿宋_GB2312" w:cs="仿宋_GB2312"/>
          <w:sz w:val="32"/>
          <w:szCs w:val="32"/>
        </w:rPr>
      </w:pPr>
    </w:p>
    <w:p>
      <w:pPr>
        <w:spacing w:line="360" w:lineRule="auto"/>
        <w:jc w:val="left"/>
        <w:rPr>
          <w:rFonts w:hint="eastAsia" w:ascii="仿宋_GB2312" w:hAnsi="仿宋_GB2312" w:eastAsia="仿宋_GB2312" w:cs="仿宋_GB2312"/>
          <w:sz w:val="32"/>
          <w:szCs w:val="32"/>
        </w:rPr>
      </w:pPr>
    </w:p>
    <w:p>
      <w:pPr>
        <w:spacing w:line="360" w:lineRule="auto"/>
        <w:jc w:val="left"/>
        <w:rPr>
          <w:rFonts w:hint="eastAsia" w:ascii="仿宋_GB2312" w:hAnsi="仿宋_GB2312" w:eastAsia="仿宋_GB2312" w:cs="仿宋_GB2312"/>
          <w:sz w:val="32"/>
          <w:szCs w:val="32"/>
        </w:rPr>
      </w:pPr>
      <w:bookmarkStart w:id="0" w:name="_GoBack"/>
      <w:bookmarkEnd w:id="0"/>
    </w:p>
    <w:p>
      <w:pPr>
        <w:spacing w:line="360" w:lineRule="auto"/>
        <w:jc w:val="left"/>
        <w:rPr>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DC4D9B4"/>
    <w:multiLevelType w:val="singleLevel"/>
    <w:tmpl w:val="9DC4D9B4"/>
    <w:lvl w:ilvl="0" w:tentative="0">
      <w:start w:val="1"/>
      <w:numFmt w:val="decimal"/>
      <w:lvlText w:val="%1."/>
      <w:lvlJc w:val="left"/>
      <w:pPr>
        <w:tabs>
          <w:tab w:val="left" w:pos="312"/>
        </w:tabs>
      </w:pPr>
    </w:lvl>
  </w:abstractNum>
  <w:abstractNum w:abstractNumId="1">
    <w:nsid w:val="A738F413"/>
    <w:multiLevelType w:val="singleLevel"/>
    <w:tmpl w:val="A738F413"/>
    <w:lvl w:ilvl="0" w:tentative="0">
      <w:start w:val="6"/>
      <w:numFmt w:val="chineseCounting"/>
      <w:suff w:val="nothing"/>
      <w:lvlText w:val="%1、"/>
      <w:lvlJc w:val="left"/>
      <w:rPr>
        <w:rFonts w:hint="eastAsia"/>
      </w:rPr>
    </w:lvl>
  </w:abstractNum>
  <w:abstractNum w:abstractNumId="2">
    <w:nsid w:val="B41ECD60"/>
    <w:multiLevelType w:val="singleLevel"/>
    <w:tmpl w:val="B41ECD60"/>
    <w:lvl w:ilvl="0" w:tentative="0">
      <w:start w:val="1"/>
      <w:numFmt w:val="decimal"/>
      <w:lvlText w:val="%1."/>
      <w:lvlJc w:val="left"/>
      <w:pPr>
        <w:tabs>
          <w:tab w:val="left" w:pos="312"/>
        </w:tabs>
      </w:pPr>
    </w:lvl>
  </w:abstractNum>
  <w:abstractNum w:abstractNumId="3">
    <w:nsid w:val="332C4CE7"/>
    <w:multiLevelType w:val="singleLevel"/>
    <w:tmpl w:val="332C4CE7"/>
    <w:lvl w:ilvl="0" w:tentative="0">
      <w:start w:val="1"/>
      <w:numFmt w:val="chineseCounting"/>
      <w:suff w:val="nothing"/>
      <w:lvlText w:val="%1、"/>
      <w:lvlJc w:val="left"/>
      <w:rPr>
        <w:rFonts w:hint="eastAsia"/>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650962"/>
    <w:rsid w:val="00121180"/>
    <w:rsid w:val="00650962"/>
    <w:rsid w:val="009424B1"/>
    <w:rsid w:val="009761C6"/>
    <w:rsid w:val="00E705EA"/>
    <w:rsid w:val="00F2202A"/>
    <w:rsid w:val="01BC446C"/>
    <w:rsid w:val="01C55DD7"/>
    <w:rsid w:val="022503E9"/>
    <w:rsid w:val="02E33C3B"/>
    <w:rsid w:val="033323DA"/>
    <w:rsid w:val="0381562A"/>
    <w:rsid w:val="07DF2DBF"/>
    <w:rsid w:val="084005F6"/>
    <w:rsid w:val="087809DB"/>
    <w:rsid w:val="09321B32"/>
    <w:rsid w:val="0A45532F"/>
    <w:rsid w:val="0A4F3D40"/>
    <w:rsid w:val="0BC7475C"/>
    <w:rsid w:val="0BED5454"/>
    <w:rsid w:val="0C795765"/>
    <w:rsid w:val="0C99100F"/>
    <w:rsid w:val="0D294FA0"/>
    <w:rsid w:val="0D4D54DC"/>
    <w:rsid w:val="0D5B3548"/>
    <w:rsid w:val="0E244098"/>
    <w:rsid w:val="0E696A6A"/>
    <w:rsid w:val="0F5867E8"/>
    <w:rsid w:val="0FBA10BF"/>
    <w:rsid w:val="11CC7CC9"/>
    <w:rsid w:val="13281B2E"/>
    <w:rsid w:val="13702822"/>
    <w:rsid w:val="1450270D"/>
    <w:rsid w:val="147C28B6"/>
    <w:rsid w:val="158F2FB1"/>
    <w:rsid w:val="16226473"/>
    <w:rsid w:val="16783CBD"/>
    <w:rsid w:val="16EA58C5"/>
    <w:rsid w:val="19337D88"/>
    <w:rsid w:val="19D14DF3"/>
    <w:rsid w:val="1A963C87"/>
    <w:rsid w:val="1B010604"/>
    <w:rsid w:val="1B82313C"/>
    <w:rsid w:val="1D1F1FC3"/>
    <w:rsid w:val="1DCE08B5"/>
    <w:rsid w:val="1EC3664A"/>
    <w:rsid w:val="212E1846"/>
    <w:rsid w:val="215C3D53"/>
    <w:rsid w:val="21E103B9"/>
    <w:rsid w:val="222D4A62"/>
    <w:rsid w:val="22A335A3"/>
    <w:rsid w:val="22C657F1"/>
    <w:rsid w:val="243F5313"/>
    <w:rsid w:val="24AC5BBD"/>
    <w:rsid w:val="24D73DE7"/>
    <w:rsid w:val="25661212"/>
    <w:rsid w:val="262327EE"/>
    <w:rsid w:val="275048C6"/>
    <w:rsid w:val="282A4516"/>
    <w:rsid w:val="299C1F02"/>
    <w:rsid w:val="2C2E777B"/>
    <w:rsid w:val="2CBF3E70"/>
    <w:rsid w:val="2D2024D6"/>
    <w:rsid w:val="2DDC34E5"/>
    <w:rsid w:val="2DF50A91"/>
    <w:rsid w:val="2F9052C9"/>
    <w:rsid w:val="305208E1"/>
    <w:rsid w:val="31B178B2"/>
    <w:rsid w:val="33DD09B5"/>
    <w:rsid w:val="34213943"/>
    <w:rsid w:val="34EE08FB"/>
    <w:rsid w:val="353D43DA"/>
    <w:rsid w:val="36BD2FB9"/>
    <w:rsid w:val="37817A5A"/>
    <w:rsid w:val="37E0393F"/>
    <w:rsid w:val="3815622D"/>
    <w:rsid w:val="38296A05"/>
    <w:rsid w:val="38387B3C"/>
    <w:rsid w:val="38600365"/>
    <w:rsid w:val="399950D7"/>
    <w:rsid w:val="39F81D49"/>
    <w:rsid w:val="3B1E707D"/>
    <w:rsid w:val="3BD00430"/>
    <w:rsid w:val="3C151A6E"/>
    <w:rsid w:val="3C2B7EEC"/>
    <w:rsid w:val="3C2E0AB6"/>
    <w:rsid w:val="3CCF5DC5"/>
    <w:rsid w:val="3CE81E1E"/>
    <w:rsid w:val="3D69727D"/>
    <w:rsid w:val="3D6D5AED"/>
    <w:rsid w:val="3E6958A1"/>
    <w:rsid w:val="3E9F27E1"/>
    <w:rsid w:val="3EA86ECE"/>
    <w:rsid w:val="3EB31460"/>
    <w:rsid w:val="3F2B2418"/>
    <w:rsid w:val="3F2F502C"/>
    <w:rsid w:val="4095345D"/>
    <w:rsid w:val="40B03726"/>
    <w:rsid w:val="40EB23F1"/>
    <w:rsid w:val="42B46850"/>
    <w:rsid w:val="43E2447E"/>
    <w:rsid w:val="4442408F"/>
    <w:rsid w:val="44E119E0"/>
    <w:rsid w:val="452B65C8"/>
    <w:rsid w:val="455F4DF3"/>
    <w:rsid w:val="457668FE"/>
    <w:rsid w:val="457B20DD"/>
    <w:rsid w:val="464D3E4E"/>
    <w:rsid w:val="4A4F7EB8"/>
    <w:rsid w:val="4A8E3223"/>
    <w:rsid w:val="4BA32825"/>
    <w:rsid w:val="4D3015D0"/>
    <w:rsid w:val="4D9E5DBC"/>
    <w:rsid w:val="4DFC3933"/>
    <w:rsid w:val="4DFF7E7B"/>
    <w:rsid w:val="4F716AA8"/>
    <w:rsid w:val="4F9A5EBD"/>
    <w:rsid w:val="4FB37A88"/>
    <w:rsid w:val="50292621"/>
    <w:rsid w:val="51A673E4"/>
    <w:rsid w:val="523D1943"/>
    <w:rsid w:val="5264272F"/>
    <w:rsid w:val="546F6FDB"/>
    <w:rsid w:val="54A53F47"/>
    <w:rsid w:val="5534081A"/>
    <w:rsid w:val="56013F3D"/>
    <w:rsid w:val="57AF2D4B"/>
    <w:rsid w:val="57F7516C"/>
    <w:rsid w:val="580252B1"/>
    <w:rsid w:val="59835861"/>
    <w:rsid w:val="5B9107B7"/>
    <w:rsid w:val="5C926320"/>
    <w:rsid w:val="5D184128"/>
    <w:rsid w:val="5D4F7DBB"/>
    <w:rsid w:val="5DE657C1"/>
    <w:rsid w:val="6009132D"/>
    <w:rsid w:val="60F13B56"/>
    <w:rsid w:val="643211E7"/>
    <w:rsid w:val="65D23AF6"/>
    <w:rsid w:val="66543454"/>
    <w:rsid w:val="67253D50"/>
    <w:rsid w:val="6A5E3AEE"/>
    <w:rsid w:val="6A6F4ACD"/>
    <w:rsid w:val="6B5C33DC"/>
    <w:rsid w:val="6C16146C"/>
    <w:rsid w:val="6C50033E"/>
    <w:rsid w:val="6E39725C"/>
    <w:rsid w:val="6E7C7BBE"/>
    <w:rsid w:val="708D5D3A"/>
    <w:rsid w:val="70A00396"/>
    <w:rsid w:val="70DA3947"/>
    <w:rsid w:val="713B22FD"/>
    <w:rsid w:val="7258575A"/>
    <w:rsid w:val="73791516"/>
    <w:rsid w:val="74FB4FE9"/>
    <w:rsid w:val="751E66A2"/>
    <w:rsid w:val="75AE0A66"/>
    <w:rsid w:val="771F7ED2"/>
    <w:rsid w:val="77C53CC7"/>
    <w:rsid w:val="78754F44"/>
    <w:rsid w:val="7AA3444C"/>
    <w:rsid w:val="7B4D6B8A"/>
    <w:rsid w:val="7C34186D"/>
    <w:rsid w:val="7E4F7A7A"/>
    <w:rsid w:val="7E672A9F"/>
    <w:rsid w:val="7F13718F"/>
    <w:rsid w:val="7F3B4ACC"/>
    <w:rsid w:val="7F4E1043"/>
    <w:rsid w:val="7F8321D3"/>
    <w:rsid w:val="7F9D1DA5"/>
  </w:rsids>
  <m:mathPr>
    <m:lMargin m:val="0"/>
    <m:mathFont m:val="Cambria Math"/>
    <m:rMargin m:val="0"/>
    <m:wrapIndent m:val="1440"/>
    <m:brkBin m:val="before"/>
    <m:brkBinSub m:val="--"/>
    <m:defJc m:val="centerGroup"/>
    <m:intLim m:val="subSup"/>
    <m:naryLim m:val="undOvr"/>
    <m:smallFrac m:val="1"/>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unhideWhenUsed/>
    <w:qFormat/>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qFormat/>
    <w:uiPriority w:val="0"/>
    <w:rPr>
      <w:kern w:val="2"/>
      <w:sz w:val="18"/>
      <w:szCs w:val="18"/>
    </w:rPr>
  </w:style>
  <w:style w:type="character" w:customStyle="1" w:styleId="7">
    <w:name w:val="页脚 Char"/>
    <w:basedOn w:val="4"/>
    <w:link w:val="2"/>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3504</Words>
  <Characters>1666</Characters>
  <Lines>13</Lines>
  <Paragraphs>10</Paragraphs>
  <ScaleCrop>false</ScaleCrop>
  <LinksUpToDate>false</LinksUpToDate>
  <CharactersWithSpaces>5160</CharactersWithSpaces>
  <Application>WPS Office_10.8.0.5715_F1E327BC-269C-435d-A152-05C5408002CA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lenovo</cp:lastModifiedBy>
  <cp:lastPrinted>2021-03-11T15:33:00Z</cp:lastPrinted>
  <dcterms:modified xsi:type="dcterms:W3CDTF">2021-06-02T08:06:16Z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y fmtid="{D5CDD505-2E9C-101B-9397-08002B2CF9AE}" pid="3" name="KSORubyTemplateID" linkTarget="0">
    <vt:lpwstr>6</vt:lpwstr>
  </property>
  <property fmtid="{D5CDD505-2E9C-101B-9397-08002B2CF9AE}" pid="4" name="ICV">
    <vt:lpwstr>D4A6378108274196B6FC6EEB8B8D4625</vt:lpwstr>
  </property>
</Properties>
</file>